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513E" w:rsidRDefault="001D44C5">
      <w:pPr>
        <w:jc w:val="both"/>
        <w:rPr>
          <w:rFonts w:cs="Calibri"/>
          <w:b/>
          <w:bCs/>
        </w:rPr>
      </w:pPr>
      <w:bookmarkStart w:id="0" w:name="_Hlk144676563"/>
      <w:r>
        <w:rPr>
          <w:rFonts w:cs="Calibri"/>
          <w:b/>
          <w:bCs/>
        </w:rPr>
        <w:t>WYMOGI W ZAKRESIE BHP</w:t>
      </w:r>
    </w:p>
    <w:bookmarkEnd w:id="0"/>
    <w:p w:rsidR="0070513E" w:rsidRDefault="001D44C5">
      <w:pPr>
        <w:jc w:val="both"/>
        <w:rPr>
          <w:rFonts w:cs="Calibri"/>
        </w:rPr>
      </w:pPr>
      <w:r>
        <w:rPr>
          <w:rFonts w:cs="Calibri"/>
        </w:rPr>
        <w:t xml:space="preserve">Generalny Wykonawca zobowiązany organizować pracę zgodnie z przepisami BHP. Niniejsze zapisy dotyczą Generalnego Wykonawcy oraz wszystkich zatrudnionych przez niego Podwykonawców celem realizacji niniejszej Umowy. Każdorazowo, gdy w niniejszej instrukcji jest wzmianka o terenie budowy, rozumiemy przez to teren budowy wskazany przez Inwestora prowadzony przez Generalnego Wykonawcę. </w:t>
      </w:r>
    </w:p>
    <w:p w:rsidR="0070513E" w:rsidRDefault="0070513E">
      <w:pPr>
        <w:jc w:val="both"/>
        <w:rPr>
          <w:rFonts w:cs="Calibri"/>
        </w:rPr>
      </w:pPr>
    </w:p>
    <w:p w:rsidR="0070513E" w:rsidRDefault="001D44C5">
      <w:pPr>
        <w:jc w:val="both"/>
        <w:rPr>
          <w:rFonts w:cs="Calibri"/>
          <w:b/>
          <w:bCs/>
          <w:u w:val="single"/>
        </w:rPr>
      </w:pPr>
      <w:bookmarkStart w:id="1" w:name="_Hlk144718790"/>
      <w:r>
        <w:rPr>
          <w:rFonts w:cs="Calibri"/>
          <w:b/>
          <w:bCs/>
          <w:u w:val="single"/>
        </w:rPr>
        <w:t>A. OBOWIĄZKI GENERALNEGO WYKONAWCY: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bookmarkStart w:id="2" w:name="_Hlk144676977"/>
      <w:bookmarkEnd w:id="1"/>
      <w:r>
        <w:rPr>
          <w:rFonts w:cs="Calibri"/>
        </w:rPr>
        <w:t>Przestrzeganie przepisów BHP i PPOŻ, przepisów o ruchu drogowym oraz zasad BHP wdrożonych na terenie budowy tj.: wyznaczenie Koordynatora BHP budowy i zapoznanie z nim wszystkich Podwykonawców oraz pisemne zapoznanie z planem BIOZ budowy wszystkich Podwykonawców; wymaganie od Podwykonawców stosowanych dokumentacji BHP w ty</w:t>
      </w:r>
      <w:r>
        <w:rPr>
          <w:rFonts w:cs="Calibri"/>
        </w:rPr>
        <w:t xml:space="preserve">m oceny ryzyka zawodowego wykonania Przedmiotu umowy, instrukcji BHP, Instrukcji Bezpiecznego Wykonania Robót (IBWR).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Zapewnienie stałego nadzoru nad prowadzonymi robotami przez osobę posiadającą kwalifikację wymagane przepisami prawa pracy oraz posiadająca wiedzę i umiejętności niezbędne do bezpiecznej organizacji i prowadzenia prac. </w:t>
      </w:r>
    </w:p>
    <w:bookmarkEnd w:id="2"/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Korzystanie wyłącznie ze sprawnych maszyn i urządzeń posiadających wymagane przepisami przeglądy (UDT, TDT i inne) oraz posiadający pełne wyposażenie i ubezpieczenie OC.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Generalny Wykonawca ma obowiązek zażądać od Podwykonawcy, a Podwykonawca jest obowiązany udostępnić Generalnemu Wykonawcy, dokumentację potwierdzającą sprawność eksploatowanych na terenie budowy maszyn i urządzeń.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Zatrudnianie do wykonania Umowy tylko osób posiadających wymagane przepisami kwalifikacje zawodowe i uprawnienia, orzeczenia lekarskie medycyny pracy oraz aktualne szkolenia BHP i PPOŻ oraz pierwszej pomocy przedmedycznej.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Konieczność wyznaczenia i stałego przebywania na terenie budowy osób do udzielania pierwszej pomocy przedmedycznej oraz ewakuacji pracowników i zwalczania pożarów oraz konieczność zapewnienia środków do działania w przedmiotowym zakresie.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zgodnie z wymaganiami przepisów przygotowanie pracowników do pracy potwierdzone odpowiednimi dokumentami: orzeczenia lekarskie o braku przeciwwskazań do pracy; dokumenty potwierdzające ważność szkoleń w dziedzinie BHP i PPOŻ, świadectwa </w:t>
      </w:r>
      <w:r>
        <w:rPr>
          <w:rFonts w:cs="Calibri"/>
        </w:rPr>
        <w:br/>
        <w:t xml:space="preserve">i dyplomy niezbędne do obsługi sprzętu lub kierowania pojazdami i maszynami; karty oceny ryzyka zawodowego wraz z oświadczeniami pracowników o ich zapoznaniu. </w:t>
      </w:r>
    </w:p>
    <w:p w:rsidR="0070513E" w:rsidRDefault="001D44C5">
      <w:pPr>
        <w:ind w:left="708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Wyżej wymienione dokumenty muszą być przechowywyane na terenie budowy i okazywane na każde żądanie Zamawiającego (Inwestora). Brak w/w dokumentów może być podstawą do wstrzymania prac i naliczania stosownych kar za zwłokę w wykonaniu umowy.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maszyny, urządzenia i sprzęt niezbędny do wykonania robót, których dokumentację należy udostępnić na każde żądanie Inwestora.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Używać na terenie budowy ostrzegawcze lampy błyskowe barwy żółtej oraz akustyczne sygnalizatory cofania.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Utrzymywać w czystości maszyny, urządzenia i na bieżąco usuwać wszelkie zabrudzenia.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Pojazdy i maszyny wyposażyć w sprawną gaśnicę i apteczkę pierwszej pomocy.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Wyposażyć pracowników w środki </w:t>
      </w:r>
      <w:r>
        <w:rPr>
          <w:rFonts w:cs="Calibri"/>
        </w:rPr>
        <w:t xml:space="preserve">ochrony indywidualnej i egzekwować ich stosowanie: hełm ochronny, okulary ochronne, obuwie ochronne, odzież roboczą, kamizelkę odblaskową lub odzież ochronną o odpowiedniej klasie odblaskowości (klasa 2) noszoną przez pracowników przez cały czas przebywania na terenie budowy, a dla operatorów maszyn i urządzeń przez cały czas przebywania ich poza kabiną maszyny lub urządzenia, oraz pozostałe środki ochronne zgodne z oceną ryzyka dla poszczególnych czynności.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Przed wejściem na teren budowy wszystkie osoby m</w:t>
      </w:r>
      <w:r>
        <w:rPr>
          <w:rFonts w:cs="Calibri"/>
        </w:rPr>
        <w:t xml:space="preserve">ają obowiązek odbyć szkolenie informacyjne oraz uzyskać pozwolenie na poruszanie się po terenie budowy.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pomieszczenie oraz urządzenia higieniczno-sanitarne i socjalne, w tym środki czystości dla pracowników zgodnie z przepisami a także dbać o bezpieczny i higieniczny stan tych pomieszczeń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Niezwłoczne zgłaszanie przedstawicielowi Inwestora zdarzeń potencjalnie wypadkowych oraz bieżące zgłaszanie zauważonych zagrożeń dla zdrowia i życia zaistniałych na terenie budowy.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przeprowadzenie postępowania powypadkowego, w związku z zaistniałym wypadkiem przy pracy oraz umożliwić przedstawicielowi Inwestora uczestnictwo </w:t>
      </w:r>
      <w:r>
        <w:rPr>
          <w:rFonts w:cs="Calibri"/>
        </w:rPr>
        <w:br/>
        <w:t xml:space="preserve">w postępowaniu powypadkowym wraz z wglądem do dokumentacji powypadkowej. </w:t>
      </w:r>
    </w:p>
    <w:p w:rsidR="0070513E" w:rsidRDefault="0070513E">
      <w:pPr>
        <w:jc w:val="both"/>
        <w:rPr>
          <w:rFonts w:cs="Calibri"/>
        </w:rPr>
      </w:pPr>
    </w:p>
    <w:p w:rsidR="0070513E" w:rsidRDefault="001D44C5">
      <w:pPr>
        <w:jc w:val="both"/>
        <w:rPr>
          <w:rFonts w:cs="Calibri"/>
          <w:b/>
          <w:bCs/>
          <w:u w:val="single"/>
        </w:rPr>
      </w:pPr>
      <w:bookmarkStart w:id="3" w:name="_Hlk144727732"/>
      <w:r>
        <w:rPr>
          <w:rFonts w:cs="Calibri"/>
          <w:b/>
          <w:bCs/>
          <w:u w:val="single"/>
        </w:rPr>
        <w:t>B. INWESTOR JEST UPRAWNIONY DO:</w:t>
      </w:r>
    </w:p>
    <w:bookmarkEnd w:id="3"/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Zgłaszania uwag i wniosków w dziedzinie BHP;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Wstrzymania robót w przypadku stwierdzenia zagrożenia dla zdrowia i życia.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Wizytacji stanowisk pracy i pomieszczeń higieniczno-sanitarnych zorganizowanych na terenie budowy.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Wydawania zaleceń celem usunięcia uchybień i nieprawidłowości w dziedzinie BHP.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Żądanie czasowego lub trwałego usunięcia z terenu budowy osób naruszających przepisy BHP.</w:t>
      </w:r>
    </w:p>
    <w:p w:rsidR="0070513E" w:rsidRDefault="0070513E">
      <w:pPr>
        <w:jc w:val="both"/>
        <w:rPr>
          <w:rFonts w:cs="Calibri"/>
          <w:u w:val="single"/>
        </w:rPr>
      </w:pPr>
    </w:p>
    <w:p w:rsidR="0070513E" w:rsidRDefault="001D44C5">
      <w:pPr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C. KARY UMOWNE: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Brak wyposażenia lub niestosowanie przez pracowników i osoby wykonujące prace na jego rzecz środków ochrony indywidualnej oraz odzieży i obuwia roboczego, w kwocie 1000,00 zł za każdy zauważony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</w:pPr>
      <w:r>
        <w:rPr>
          <w:rFonts w:cs="Calibri"/>
        </w:rPr>
        <w:t>Nieporządek na stanowiskach pracy i w ich otoczeniu, w kwocie</w:t>
      </w:r>
      <w:r>
        <w:rPr>
          <w:rFonts w:cs="Calibri"/>
          <w:strike/>
          <w:color w:val="0070C0"/>
        </w:rPr>
        <w:t xml:space="preserve"> </w:t>
      </w:r>
      <w:r>
        <w:rPr>
          <w:rFonts w:cs="Calibri"/>
        </w:rPr>
        <w:t>1000,00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Naruszenie przepisów BIOZ, IBWR oraz instrukcjach BHP, w kwocie 1500,00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 xml:space="preserve">Przebywanie na terenie budowy pracowników będących pod wpływem alkoholu lub wnoszących i spożywających alkohol na terenie budowy w kwocie 10000,00 zł za każdy przypadek oraz natychmiastowe trwałe odsunięcie od pracy. 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 xml:space="preserve">Przebywanie na terenie budowy pracowników będących pod wpływem narkotyków lub środków odurzających w kwocie 10000,00 zł za każdy przypadek oraz natychmiastowe trwałe odsunięcie od pracy. 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Dopuszczenie do wykonania prac bez wymaganego nadzoru osoby kierującej w kwocie 2000,00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Nieprawidłowości związane z brakiem środków ochrony zbiorowej w kwocie 2000,00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</w:pPr>
      <w:r>
        <w:rPr>
          <w:rFonts w:cs="Calibri"/>
        </w:rPr>
        <w:t>Nieprawidłowości związane z rusztowaniami w kwocie</w:t>
      </w:r>
      <w:r>
        <w:rPr>
          <w:rFonts w:cs="Calibri"/>
          <w:strike/>
          <w:color w:val="0070C0"/>
        </w:rPr>
        <w:t xml:space="preserve"> </w:t>
      </w:r>
      <w:r>
        <w:rPr>
          <w:rFonts w:cs="Calibri"/>
        </w:rPr>
        <w:t>2000,00 zł za każdy przypadek.</w:t>
      </w:r>
    </w:p>
    <w:p w:rsidR="0070513E" w:rsidRDefault="001D44C5">
      <w:pPr>
        <w:jc w:val="both"/>
      </w:pPr>
      <w:r>
        <w:rPr>
          <w:rFonts w:cs="Calibri"/>
          <w:b/>
          <w:bCs/>
        </w:rPr>
        <w:t>W przypadku rażącego łamania przepisów BHP i PPOŻ Inwestor (Zamawiający) ma możliwość rozwiązania Umowy z winy Generalnego Wykonawcy/Podwykonawcy.</w:t>
      </w:r>
    </w:p>
    <w:sectPr w:rsidR="0070513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4791D" w:rsidRDefault="0004791D">
      <w:pPr>
        <w:spacing w:after="0"/>
      </w:pPr>
      <w:r>
        <w:separator/>
      </w:r>
    </w:p>
  </w:endnote>
  <w:endnote w:type="continuationSeparator" w:id="0">
    <w:p w:rsidR="0004791D" w:rsidRDefault="000479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44C5" w:rsidRDefault="001D44C5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1D44C5" w:rsidRDefault="001D4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4791D" w:rsidRDefault="0004791D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04791D" w:rsidRDefault="000479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986"/>
      <w:gridCol w:w="7056"/>
    </w:tblGrid>
    <w:tr w:rsidR="00000000">
      <w:tblPrEx>
        <w:tblCellMar>
          <w:top w:w="0" w:type="dxa"/>
          <w:bottom w:w="0" w:type="dxa"/>
        </w:tblCellMar>
      </w:tblPrEx>
      <w:trPr>
        <w:trHeight w:val="903"/>
      </w:trPr>
      <w:tc>
        <w:tcPr>
          <w:tcW w:w="1986" w:type="dxa"/>
          <w:vMerge w:val="restart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1D44C5" w:rsidRDefault="001D44C5">
          <w:pPr>
            <w:pStyle w:val="Nagwek"/>
            <w:tabs>
              <w:tab w:val="center" w:pos="4320"/>
              <w:tab w:val="right" w:pos="8640"/>
            </w:tabs>
            <w:spacing w:before="40"/>
          </w:pPr>
          <w:r w:rsidRPr="00AB2AC9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6" w:type="dxa"/>
          <w:tcBorders>
            <w:top w:val="double" w:sz="4" w:space="0" w:color="000000"/>
            <w:left w:val="single" w:sz="4" w:space="0" w:color="000000"/>
            <w:bottom w:val="single" w:sz="2" w:space="0" w:color="000000"/>
            <w:right w:val="doub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:rsidR="001D44C5" w:rsidRDefault="001D44C5">
          <w:pPr>
            <w:spacing w:after="240"/>
            <w:rPr>
              <w:rFonts w:cs="Calibri"/>
            </w:rPr>
          </w:pPr>
          <w:r>
            <w:rPr>
              <w:rFonts w:cs="Calibri"/>
            </w:rPr>
            <w:t>Projekt……………..</w:t>
          </w:r>
        </w:p>
        <w:p w:rsidR="001D44C5" w:rsidRDefault="001D44C5">
          <w:r>
            <w:rPr>
              <w:rFonts w:cs="Calibri"/>
            </w:rPr>
            <w:t>Umowa nr…………</w:t>
          </w:r>
        </w:p>
      </w:tc>
    </w:tr>
    <w:tr w:rsidR="00000000">
      <w:tblPrEx>
        <w:tblCellMar>
          <w:top w:w="0" w:type="dxa"/>
          <w:bottom w:w="0" w:type="dxa"/>
        </w:tblCellMar>
      </w:tblPrEx>
      <w:trPr>
        <w:trHeight w:val="903"/>
      </w:trPr>
      <w:tc>
        <w:tcPr>
          <w:tcW w:w="1986" w:type="dxa"/>
          <w:vMerge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1D44C5" w:rsidRDefault="001D44C5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7056" w:type="dxa"/>
          <w:tcBorders>
            <w:top w:val="single" w:sz="2" w:space="0" w:color="000000"/>
            <w:left w:val="single" w:sz="4" w:space="0" w:color="000000"/>
            <w:bottom w:val="double" w:sz="4" w:space="0" w:color="000000"/>
            <w:right w:val="doub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:rsidR="001D44C5" w:rsidRDefault="001D44C5">
          <w:r>
            <w:t>Załącznik nr………</w:t>
          </w:r>
        </w:p>
        <w:p w:rsidR="001D44C5" w:rsidRDefault="001D44C5">
          <w:r>
            <w:t>WYMOGI W ZAKRESIE BHP</w:t>
          </w:r>
        </w:p>
      </w:tc>
    </w:tr>
  </w:tbl>
  <w:p w:rsidR="001D44C5" w:rsidRDefault="001D4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C2A3A"/>
    <w:multiLevelType w:val="multilevel"/>
    <w:tmpl w:val="7ED08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B60B7"/>
    <w:multiLevelType w:val="multilevel"/>
    <w:tmpl w:val="30BE4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50CDF"/>
    <w:multiLevelType w:val="multilevel"/>
    <w:tmpl w:val="ED7EBB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564570">
    <w:abstractNumId w:val="2"/>
  </w:num>
  <w:num w:numId="2" w16cid:durableId="90126602">
    <w:abstractNumId w:val="1"/>
  </w:num>
  <w:num w:numId="3" w16cid:durableId="2024630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13E"/>
    <w:rsid w:val="0004791D"/>
    <w:rsid w:val="001D44C5"/>
    <w:rsid w:val="0070513E"/>
    <w:rsid w:val="00AB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5A08FEF-BDE7-4B77-B016-AF032D3A7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spacing w:after="160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rPr>
      <w:sz w:val="20"/>
      <w:szCs w:val="20"/>
    </w:rPr>
  </w:style>
  <w:style w:type="character" w:styleId="Odwoaniedokomentarza">
    <w:name w:val="annotation referen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DOCID-635951018-967382</_dlc_DocId>
    <_dlc_DocIdUrl xmlns="25b3ddb8-aae8-4246-b5d0-f68d9a9ece51">
      <Url>https://qairenergy.sharepoint.com/sites/QAIRGroup/QI/Poland/_layouts/15/DocIdRedir.aspx?ID=DOCID-635951018-967382</Url>
      <Description>DOCID-635951018-967382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5FF408-020E-4656-857D-269C6D73A0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FA0728-6557-4EEA-A5A2-6801675111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2AE6759-CF73-4653-8180-7A8886D3FF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6D00069-7434-4D8A-AB7E-1037CA2804B0}"/>
</file>

<file path=customXml/itemProps5.xml><?xml version="1.0" encoding="utf-8"?>
<ds:datastoreItem xmlns:ds="http://schemas.openxmlformats.org/officeDocument/2006/customXml" ds:itemID="{B285D98B-F8B4-4D34-8F39-5DE612F37D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WRONA</dc:creator>
  <cp:keywords/>
  <dc:description/>
  <cp:lastModifiedBy>Agnieszka MAZUR</cp:lastModifiedBy>
  <cp:revision>2</cp:revision>
  <dcterms:created xsi:type="dcterms:W3CDTF">2024-10-23T11:26:00Z</dcterms:created>
  <dcterms:modified xsi:type="dcterms:W3CDTF">2024-10-23T11:26:00Z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DOCID-1003191774-221</vt:lpwstr>
  </property>
  <property fmtid="{D5CDD505-2E9C-101B-9397-08002B2CF9AE}" pid="3" name="_dlc_DocIdItemGuid">
    <vt:lpwstr>5428f242-d5e5-4623-916c-a2bfe6aa22e9</vt:lpwstr>
  </property>
  <property fmtid="{D5CDD505-2E9C-101B-9397-08002B2CF9AE}" pid="4" name="_dlc_DocIdUrl">
    <vt:lpwstr>https://qairenergy.sharepoint.com/sites/QAIRGroup/QI/Poland/_layouts/15/DocIdRedir.aspx?ID=DOCID-1003191774-221, DOCID-1003191774-221</vt:lpwstr>
  </property>
  <property fmtid="{D5CDD505-2E9C-101B-9397-08002B2CF9AE}" pid="5" name="ContentTypeId">
    <vt:lpwstr>0x0101005D2D1D01C6F0934BA41F56D2A327E108</vt:lpwstr>
  </property>
  <property fmtid="{D5CDD505-2E9C-101B-9397-08002B2CF9AE}" pid="6" name="MediaServiceImageTags">
    <vt:lpwstr/>
  </property>
</Properties>
</file>